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4138A" w:rsidRPr="0024138A">
        <w:t>R4-2107305</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D01D19">
        <w:rPr>
          <w:rFonts w:ascii="Arial" w:hAnsi="Arial" w:cs="Arial" w:hint="eastAsia"/>
          <w:sz w:val="22"/>
        </w:rPr>
        <w:t>, Hi</w:t>
      </w:r>
      <w:r w:rsidR="00D01D19">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40C9B" w:rsidRPr="00640C9B">
        <w:rPr>
          <w:rFonts w:ascii="Arial" w:hAnsi="Arial" w:cs="Arial"/>
          <w:sz w:val="22"/>
        </w:rPr>
        <w:t>On CBW for licensed band supporting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4138A">
        <w:rPr>
          <w:rFonts w:ascii="Arial" w:hAnsi="Arial" w:cs="Arial"/>
          <w:sz w:val="22"/>
        </w:rPr>
        <w:t>8.10.3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873786" w:rsidP="009A089A">
      <w:r>
        <w:t>In Rel-16, besides ITS band n47, only n38 as a licensed band was introduced for SL service</w:t>
      </w:r>
      <w:r w:rsidR="005369EE">
        <w:t xml:space="preserve">. </w:t>
      </w:r>
      <w:r>
        <w:t>From Rel-17, it is expected that more licensed band could be introduced to support SL. This contribution provides our consideration on CBW for licensed band supporting NR V2X.</w:t>
      </w:r>
    </w:p>
    <w:p w:rsidR="00062E8E" w:rsidRDefault="00062E8E" w:rsidP="00F23E96">
      <w:pPr>
        <w:pStyle w:val="Heading1"/>
        <w:spacing w:after="240"/>
        <w:rPr>
          <w:rFonts w:eastAsia="宋体"/>
          <w:lang w:eastAsia="zh-CN"/>
        </w:rPr>
      </w:pPr>
      <w:r>
        <w:rPr>
          <w:rFonts w:eastAsia="宋体" w:hint="eastAsia"/>
          <w:lang w:eastAsia="zh-CN"/>
        </w:rPr>
        <w:t>Discussion</w:t>
      </w:r>
    </w:p>
    <w:p w:rsidR="00A32226" w:rsidRDefault="00873786" w:rsidP="005369EE">
      <w:pPr>
        <w:rPr>
          <w:lang w:val="en-US" w:eastAsia="en-US"/>
        </w:rPr>
      </w:pPr>
      <w:r>
        <w:rPr>
          <w:lang w:val="en-US" w:eastAsia="en-US"/>
        </w:rPr>
        <w:t>The operating bands supporting NR SL in the specification are copied as below:</w:t>
      </w:r>
    </w:p>
    <w:p w:rsidR="00873786" w:rsidRPr="00A1115A" w:rsidRDefault="00873786" w:rsidP="00873786">
      <w:pPr>
        <w:pStyle w:val="TH"/>
        <w:rPr>
          <w:rFonts w:eastAsia="Yu Mincho"/>
        </w:rPr>
      </w:pPr>
      <w:r w:rsidRPr="00A1115A">
        <w:rPr>
          <w:rFonts w:eastAsia="Yu Mincho"/>
        </w:rPr>
        <w:t xml:space="preserve">Table </w:t>
      </w:r>
      <w:r>
        <w:rPr>
          <w:rFonts w:eastAsia="Yu Mincho"/>
        </w:rPr>
        <w:t>2</w:t>
      </w:r>
      <w:r w:rsidRPr="00A1115A">
        <w:rPr>
          <w:rFonts w:eastAsia="Yu Mincho"/>
        </w:rPr>
        <w:t>-1 Channel bandwidths for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A32226" w:rsidRPr="00A1115A" w:rsidTr="00A338CB">
        <w:trPr>
          <w:tblHeader/>
          <w:jc w:val="center"/>
        </w:trPr>
        <w:tc>
          <w:tcPr>
            <w:tcW w:w="9631" w:type="dxa"/>
            <w:gridSpan w:val="15"/>
            <w:tcBorders>
              <w:bottom w:val="single" w:sz="4" w:space="0" w:color="auto"/>
            </w:tcBorders>
            <w:tcMar>
              <w:left w:w="28" w:type="dxa"/>
              <w:right w:w="28" w:type="dxa"/>
            </w:tcMar>
          </w:tcPr>
          <w:p w:rsidR="00A32226" w:rsidRPr="00A1115A" w:rsidRDefault="00A32226" w:rsidP="00D85D8C">
            <w:pPr>
              <w:pStyle w:val="TAH"/>
              <w:keepNext w:val="0"/>
              <w:rPr>
                <w:rFonts w:eastAsia="Yu Mincho"/>
              </w:rPr>
            </w:pPr>
            <w:r w:rsidRPr="00A1115A">
              <w:rPr>
                <w:rFonts w:eastAsia="Yu Mincho"/>
              </w:rPr>
              <w:t>NR band / SCS / UE Channel bandwidth</w:t>
            </w:r>
          </w:p>
        </w:tc>
      </w:tr>
      <w:tr w:rsidR="00A32226" w:rsidRPr="00A1115A" w:rsidTr="00D85D8C">
        <w:trPr>
          <w:tblHeader/>
          <w:jc w:val="center"/>
        </w:trPr>
        <w:tc>
          <w:tcPr>
            <w:tcW w:w="660" w:type="dxa"/>
            <w:tcBorders>
              <w:bottom w:val="single" w:sz="4" w:space="0" w:color="auto"/>
            </w:tcBorders>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NR Band</w:t>
            </w:r>
          </w:p>
        </w:tc>
        <w:tc>
          <w:tcPr>
            <w:tcW w:w="582"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SCS</w:t>
            </w:r>
          </w:p>
          <w:p w:rsidR="00A32226" w:rsidRPr="00A32226" w:rsidRDefault="00A32226" w:rsidP="00D85D8C">
            <w:pPr>
              <w:pStyle w:val="TAH"/>
              <w:keepNext w:val="0"/>
              <w:rPr>
                <w:rFonts w:eastAsia="Yu Mincho"/>
                <w:sz w:val="14"/>
              </w:rPr>
            </w:pPr>
            <w:r w:rsidRPr="00A32226">
              <w:rPr>
                <w:rFonts w:eastAsia="Yu Mincho"/>
                <w:sz w:val="14"/>
              </w:rPr>
              <w:t>kHz</w:t>
            </w:r>
          </w:p>
        </w:tc>
        <w:tc>
          <w:tcPr>
            <w:tcW w:w="589"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5 MHz</w:t>
            </w:r>
          </w:p>
        </w:tc>
        <w:tc>
          <w:tcPr>
            <w:tcW w:w="655" w:type="dxa"/>
            <w:tcMar>
              <w:left w:w="28" w:type="dxa"/>
              <w:right w:w="28" w:type="dxa"/>
            </w:tcMar>
            <w:hideMark/>
          </w:tcPr>
          <w:p w:rsidR="00A32226" w:rsidRPr="00A32226" w:rsidRDefault="00A32226" w:rsidP="00D85D8C">
            <w:pPr>
              <w:pStyle w:val="TAH"/>
              <w:rPr>
                <w:sz w:val="14"/>
                <w:lang w:eastAsia="ko-KR"/>
              </w:rPr>
            </w:pPr>
            <w:r w:rsidRPr="00A32226">
              <w:rPr>
                <w:sz w:val="14"/>
                <w:lang w:eastAsia="ko-KR"/>
              </w:rPr>
              <w:t>10 MHz</w:t>
            </w:r>
          </w:p>
        </w:tc>
        <w:tc>
          <w:tcPr>
            <w:tcW w:w="582" w:type="dxa"/>
            <w:tcMar>
              <w:left w:w="28" w:type="dxa"/>
              <w:right w:w="28" w:type="dxa"/>
            </w:tcMar>
            <w:hideMark/>
          </w:tcPr>
          <w:p w:rsidR="00A32226" w:rsidRPr="00A32226" w:rsidRDefault="00A32226" w:rsidP="00D85D8C">
            <w:pPr>
              <w:pStyle w:val="TAH"/>
              <w:rPr>
                <w:sz w:val="14"/>
                <w:lang w:eastAsia="ko-KR"/>
              </w:rPr>
            </w:pPr>
            <w:r w:rsidRPr="00A32226">
              <w:rPr>
                <w:sz w:val="14"/>
                <w:lang w:eastAsia="ko-KR"/>
              </w:rPr>
              <w:t>15 MHz</w:t>
            </w:r>
          </w:p>
        </w:tc>
        <w:tc>
          <w:tcPr>
            <w:tcW w:w="782" w:type="dxa"/>
            <w:tcMar>
              <w:left w:w="28" w:type="dxa"/>
              <w:right w:w="28" w:type="dxa"/>
            </w:tcMar>
            <w:hideMark/>
          </w:tcPr>
          <w:p w:rsidR="00A32226" w:rsidRPr="00A32226" w:rsidRDefault="00A32226" w:rsidP="00D85D8C">
            <w:pPr>
              <w:pStyle w:val="TAH"/>
              <w:rPr>
                <w:sz w:val="14"/>
                <w:lang w:eastAsia="ko-KR"/>
              </w:rPr>
            </w:pPr>
            <w:r w:rsidRPr="00A32226">
              <w:rPr>
                <w:sz w:val="14"/>
                <w:lang w:eastAsia="ko-KR"/>
              </w:rPr>
              <w:t>20 MHz</w:t>
            </w:r>
          </w:p>
        </w:tc>
        <w:tc>
          <w:tcPr>
            <w:tcW w:w="589" w:type="dxa"/>
            <w:tcMar>
              <w:left w:w="28" w:type="dxa"/>
              <w:right w:w="28" w:type="dxa"/>
            </w:tcMar>
            <w:hideMark/>
          </w:tcPr>
          <w:p w:rsidR="00A32226" w:rsidRPr="00A32226" w:rsidRDefault="00A32226" w:rsidP="00D85D8C">
            <w:pPr>
              <w:pStyle w:val="TAH"/>
              <w:rPr>
                <w:sz w:val="14"/>
                <w:lang w:eastAsia="ko-KR"/>
              </w:rPr>
            </w:pPr>
            <w:r w:rsidRPr="00A32226">
              <w:rPr>
                <w:sz w:val="14"/>
                <w:lang w:eastAsia="ko-KR"/>
              </w:rPr>
              <w:t>25 MHz</w:t>
            </w:r>
          </w:p>
        </w:tc>
        <w:tc>
          <w:tcPr>
            <w:tcW w:w="589" w:type="dxa"/>
            <w:tcMar>
              <w:left w:w="28" w:type="dxa"/>
              <w:right w:w="28" w:type="dxa"/>
            </w:tcMar>
          </w:tcPr>
          <w:p w:rsidR="00A32226" w:rsidRPr="00A32226" w:rsidRDefault="00A32226" w:rsidP="00D85D8C">
            <w:pPr>
              <w:pStyle w:val="TAH"/>
              <w:keepNext w:val="0"/>
              <w:rPr>
                <w:rFonts w:eastAsia="Yu Mincho"/>
                <w:sz w:val="14"/>
              </w:rPr>
            </w:pPr>
            <w:r w:rsidRPr="00A32226">
              <w:rPr>
                <w:rFonts w:eastAsia="Yu Mincho"/>
                <w:sz w:val="14"/>
              </w:rPr>
              <w:t>30 MHz</w:t>
            </w:r>
          </w:p>
        </w:tc>
        <w:tc>
          <w:tcPr>
            <w:tcW w:w="636"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40 MHz</w:t>
            </w:r>
          </w:p>
        </w:tc>
        <w:tc>
          <w:tcPr>
            <w:tcW w:w="643"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50 MHz</w:t>
            </w:r>
          </w:p>
        </w:tc>
        <w:tc>
          <w:tcPr>
            <w:tcW w:w="643"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60 MHz</w:t>
            </w:r>
          </w:p>
        </w:tc>
        <w:tc>
          <w:tcPr>
            <w:tcW w:w="643"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70 MHz</w:t>
            </w:r>
          </w:p>
        </w:tc>
        <w:tc>
          <w:tcPr>
            <w:tcW w:w="643" w:type="dxa"/>
            <w:tcMar>
              <w:left w:w="28" w:type="dxa"/>
              <w:right w:w="28" w:type="dxa"/>
            </w:tcMar>
          </w:tcPr>
          <w:p w:rsidR="00A32226" w:rsidRPr="00A32226" w:rsidRDefault="00A32226" w:rsidP="00D85D8C">
            <w:pPr>
              <w:pStyle w:val="TAH"/>
              <w:keepNext w:val="0"/>
              <w:rPr>
                <w:rFonts w:eastAsia="Yu Mincho"/>
                <w:sz w:val="14"/>
              </w:rPr>
            </w:pPr>
            <w:r w:rsidRPr="00A32226">
              <w:rPr>
                <w:rFonts w:eastAsia="Yu Mincho"/>
                <w:sz w:val="14"/>
              </w:rPr>
              <w:t>80 MHz</w:t>
            </w:r>
          </w:p>
        </w:tc>
        <w:tc>
          <w:tcPr>
            <w:tcW w:w="752" w:type="dxa"/>
            <w:tcMar>
              <w:left w:w="28" w:type="dxa"/>
              <w:right w:w="28" w:type="dxa"/>
            </w:tcMar>
          </w:tcPr>
          <w:p w:rsidR="00A32226" w:rsidRPr="00A32226" w:rsidRDefault="00A32226" w:rsidP="00D85D8C">
            <w:pPr>
              <w:pStyle w:val="TAH"/>
              <w:keepNext w:val="0"/>
              <w:rPr>
                <w:rFonts w:eastAsia="Yu Mincho"/>
                <w:sz w:val="14"/>
              </w:rPr>
            </w:pPr>
            <w:r w:rsidRPr="00A32226">
              <w:rPr>
                <w:rFonts w:eastAsia="Yu Mincho"/>
                <w:sz w:val="14"/>
              </w:rPr>
              <w:t>90 MHz</w:t>
            </w:r>
          </w:p>
        </w:tc>
        <w:tc>
          <w:tcPr>
            <w:tcW w:w="643" w:type="dxa"/>
            <w:tcMar>
              <w:left w:w="28" w:type="dxa"/>
              <w:right w:w="28" w:type="dxa"/>
            </w:tcMar>
            <w:hideMark/>
          </w:tcPr>
          <w:p w:rsidR="00A32226" w:rsidRPr="00A32226" w:rsidRDefault="00A32226" w:rsidP="00D85D8C">
            <w:pPr>
              <w:pStyle w:val="TAH"/>
              <w:keepNext w:val="0"/>
              <w:rPr>
                <w:rFonts w:eastAsia="Yu Mincho"/>
                <w:sz w:val="14"/>
              </w:rPr>
            </w:pPr>
            <w:r w:rsidRPr="00A32226">
              <w:rPr>
                <w:rFonts w:eastAsia="Yu Mincho"/>
                <w:sz w:val="14"/>
              </w:rPr>
              <w:t>100 MHz</w:t>
            </w:r>
          </w:p>
        </w:tc>
      </w:tr>
      <w:tr w:rsidR="00A32226" w:rsidRPr="00A1115A" w:rsidTr="00A32226">
        <w:trPr>
          <w:jc w:val="center"/>
        </w:trPr>
        <w:tc>
          <w:tcPr>
            <w:tcW w:w="660" w:type="dxa"/>
            <w:tcBorders>
              <w:bottom w:val="nil"/>
            </w:tcBorders>
            <w:shd w:val="clear" w:color="auto" w:fill="auto"/>
            <w:tcMar>
              <w:left w:w="28" w:type="dxa"/>
              <w:right w:w="28" w:type="dxa"/>
            </w:tcMar>
            <w:vAlign w:val="center"/>
            <w:hideMark/>
          </w:tcPr>
          <w:p w:rsidR="00A32226" w:rsidRPr="00A32226" w:rsidRDefault="00A32226" w:rsidP="00A32226">
            <w:pPr>
              <w:pStyle w:val="TAC"/>
              <w:keepNext w:val="0"/>
              <w:rPr>
                <w:rFonts w:eastAsia="Yu Mincho"/>
                <w:sz w:val="16"/>
              </w:rPr>
            </w:pPr>
            <w:r>
              <w:rPr>
                <w:rFonts w:eastAsia="Yu Mincho"/>
                <w:sz w:val="16"/>
              </w:rPr>
              <w:t>n38</w:t>
            </w:r>
          </w:p>
        </w:tc>
        <w:tc>
          <w:tcPr>
            <w:tcW w:w="5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15</w:t>
            </w:r>
          </w:p>
        </w:tc>
        <w:tc>
          <w:tcPr>
            <w:tcW w:w="589" w:type="dxa"/>
            <w:tcMar>
              <w:left w:w="28" w:type="dxa"/>
              <w:right w:w="28" w:type="dxa"/>
            </w:tcMar>
            <w:hideMark/>
          </w:tcPr>
          <w:p w:rsidR="00A32226" w:rsidRPr="00A32226" w:rsidRDefault="00A32226" w:rsidP="00A32226">
            <w:pPr>
              <w:pStyle w:val="TAC"/>
              <w:keepNext w:val="0"/>
              <w:rPr>
                <w:rFonts w:eastAsia="Yu Mincho"/>
                <w:sz w:val="16"/>
              </w:rPr>
            </w:pPr>
            <w:r w:rsidRPr="00A32226">
              <w:rPr>
                <w:rFonts w:eastAsia="Yu Mincho"/>
                <w:sz w:val="16"/>
              </w:rPr>
              <w:t>Yes</w:t>
            </w:r>
          </w:p>
        </w:tc>
        <w:tc>
          <w:tcPr>
            <w:tcW w:w="655"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sz w:val="16"/>
              </w:rPr>
              <w:t>Yes</w:t>
            </w:r>
            <w:r w:rsidRPr="00A32226">
              <w:rPr>
                <w:rFonts w:eastAsia="Yu Mincho"/>
                <w:sz w:val="16"/>
                <w:vertAlign w:val="superscript"/>
              </w:rPr>
              <w:t>10</w:t>
            </w:r>
          </w:p>
        </w:tc>
        <w:tc>
          <w:tcPr>
            <w:tcW w:w="643" w:type="dxa"/>
            <w:tcMar>
              <w:left w:w="28" w:type="dxa"/>
              <w:right w:w="28" w:type="dxa"/>
            </w:tcMar>
            <w:vAlign w:val="cente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c>
          <w:tcPr>
            <w:tcW w:w="643" w:type="dxa"/>
            <w:tcMar>
              <w:left w:w="28" w:type="dxa"/>
              <w:right w:w="28" w:type="dxa"/>
            </w:tcMar>
            <w:hideMark/>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752"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r>
      <w:tr w:rsidR="00A32226" w:rsidRPr="00A1115A" w:rsidTr="00A32226">
        <w:trPr>
          <w:jc w:val="center"/>
        </w:trPr>
        <w:tc>
          <w:tcPr>
            <w:tcW w:w="660" w:type="dxa"/>
            <w:tcBorders>
              <w:top w:val="nil"/>
              <w:bottom w:val="nil"/>
            </w:tcBorders>
            <w:shd w:val="clear" w:color="auto" w:fill="auto"/>
            <w:tcMar>
              <w:left w:w="28" w:type="dxa"/>
              <w:right w:w="28" w:type="dxa"/>
            </w:tcMar>
            <w:vAlign w:val="center"/>
            <w:hideMark/>
          </w:tcPr>
          <w:p w:rsidR="00A32226" w:rsidRPr="00A32226" w:rsidRDefault="00A32226" w:rsidP="00A32226">
            <w:pPr>
              <w:pStyle w:val="TAC"/>
              <w:keepNext w:val="0"/>
              <w:rPr>
                <w:rFonts w:eastAsia="Yu Mincho"/>
                <w:sz w:val="16"/>
              </w:rPr>
            </w:pPr>
          </w:p>
        </w:tc>
        <w:tc>
          <w:tcPr>
            <w:tcW w:w="5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30</w:t>
            </w:r>
          </w:p>
        </w:tc>
        <w:tc>
          <w:tcPr>
            <w:tcW w:w="589" w:type="dxa"/>
            <w:tcMar>
              <w:left w:w="28" w:type="dxa"/>
              <w:right w:w="28" w:type="dxa"/>
            </w:tcMar>
          </w:tcPr>
          <w:p w:rsidR="00A32226" w:rsidRPr="00A32226" w:rsidRDefault="00A32226" w:rsidP="00A32226">
            <w:pPr>
              <w:pStyle w:val="TAC"/>
              <w:keepNext w:val="0"/>
              <w:rPr>
                <w:rFonts w:eastAsia="Yu Mincho"/>
                <w:sz w:val="16"/>
              </w:rPr>
            </w:pPr>
          </w:p>
        </w:tc>
        <w:tc>
          <w:tcPr>
            <w:tcW w:w="655" w:type="dxa"/>
            <w:tcMar>
              <w:left w:w="28" w:type="dxa"/>
              <w:right w:w="28" w:type="dxa"/>
            </w:tcMa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sz w:val="16"/>
              </w:rPr>
              <w:t>Yes</w:t>
            </w:r>
            <w:r w:rsidRPr="00A32226">
              <w:rPr>
                <w:rFonts w:eastAsia="Yu Mincho"/>
                <w:sz w:val="16"/>
                <w:vertAlign w:val="superscript"/>
              </w:rPr>
              <w:t>10</w:t>
            </w:r>
          </w:p>
        </w:tc>
        <w:tc>
          <w:tcPr>
            <w:tcW w:w="643" w:type="dxa"/>
            <w:tcMar>
              <w:left w:w="28" w:type="dxa"/>
              <w:right w:w="28" w:type="dxa"/>
            </w:tcMar>
            <w:vAlign w:val="cente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c>
          <w:tcPr>
            <w:tcW w:w="643" w:type="dxa"/>
            <w:tcMar>
              <w:left w:w="28" w:type="dxa"/>
              <w:right w:w="28" w:type="dxa"/>
            </w:tcMar>
            <w:hideMark/>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752"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r>
      <w:tr w:rsidR="00A32226" w:rsidRPr="00A1115A" w:rsidTr="00A32226">
        <w:trPr>
          <w:jc w:val="center"/>
        </w:trPr>
        <w:tc>
          <w:tcPr>
            <w:tcW w:w="660" w:type="dxa"/>
            <w:tcBorders>
              <w:top w:val="nil"/>
              <w:bottom w:val="single" w:sz="4" w:space="0" w:color="auto"/>
            </w:tcBorders>
            <w:shd w:val="clear" w:color="auto" w:fill="auto"/>
            <w:tcMar>
              <w:left w:w="28" w:type="dxa"/>
              <w:right w:w="28" w:type="dxa"/>
            </w:tcMar>
            <w:vAlign w:val="center"/>
            <w:hideMark/>
          </w:tcPr>
          <w:p w:rsidR="00A32226" w:rsidRPr="00A32226" w:rsidRDefault="00A32226" w:rsidP="00A32226">
            <w:pPr>
              <w:pStyle w:val="TAC"/>
              <w:keepNext w:val="0"/>
              <w:rPr>
                <w:rFonts w:eastAsia="Yu Mincho"/>
                <w:sz w:val="16"/>
              </w:rPr>
            </w:pPr>
          </w:p>
        </w:tc>
        <w:tc>
          <w:tcPr>
            <w:tcW w:w="5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60</w:t>
            </w:r>
          </w:p>
        </w:tc>
        <w:tc>
          <w:tcPr>
            <w:tcW w:w="589" w:type="dxa"/>
            <w:tcMar>
              <w:left w:w="28" w:type="dxa"/>
              <w:right w:w="28" w:type="dxa"/>
            </w:tcMar>
          </w:tcPr>
          <w:p w:rsidR="00A32226" w:rsidRPr="00A32226" w:rsidRDefault="00A32226" w:rsidP="00A32226">
            <w:pPr>
              <w:pStyle w:val="TAC"/>
              <w:keepNext w:val="0"/>
              <w:rPr>
                <w:rFonts w:eastAsia="Yu Mincho"/>
                <w:sz w:val="16"/>
              </w:rPr>
            </w:pPr>
          </w:p>
        </w:tc>
        <w:tc>
          <w:tcPr>
            <w:tcW w:w="655"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Mar>
              <w:left w:w="28" w:type="dxa"/>
              <w:right w:w="28" w:type="dxa"/>
            </w:tcMar>
            <w:vAlign w:val="center"/>
            <w:hideMark/>
          </w:tcPr>
          <w:p w:rsidR="00A32226" w:rsidRPr="00A32226" w:rsidRDefault="00A32226" w:rsidP="00A32226">
            <w:pPr>
              <w:pStyle w:val="TAC"/>
              <w:keepNext w:val="0"/>
              <w:rPr>
                <w:rFonts w:eastAsia="Yu Mincho"/>
                <w:sz w:val="16"/>
              </w:rPr>
            </w:pPr>
            <w:r w:rsidRPr="00A32226">
              <w:rPr>
                <w:sz w:val="16"/>
              </w:rPr>
              <w:t>Yes</w:t>
            </w:r>
            <w:r w:rsidRPr="00A32226">
              <w:rPr>
                <w:rFonts w:eastAsia="Yu Mincho"/>
                <w:sz w:val="16"/>
                <w:vertAlign w:val="superscript"/>
              </w:rPr>
              <w:t>10</w:t>
            </w:r>
          </w:p>
        </w:tc>
        <w:tc>
          <w:tcPr>
            <w:tcW w:w="643" w:type="dxa"/>
            <w:tcMar>
              <w:left w:w="28" w:type="dxa"/>
              <w:right w:w="28" w:type="dxa"/>
            </w:tcMar>
            <w:vAlign w:val="cente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c>
          <w:tcPr>
            <w:tcW w:w="643" w:type="dxa"/>
            <w:tcMar>
              <w:left w:w="28" w:type="dxa"/>
              <w:right w:w="28" w:type="dxa"/>
            </w:tcMar>
            <w:hideMark/>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752"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hideMark/>
          </w:tcPr>
          <w:p w:rsidR="00A32226" w:rsidRPr="00A32226" w:rsidRDefault="00A32226" w:rsidP="00A32226">
            <w:pPr>
              <w:pStyle w:val="TAC"/>
              <w:keepNext w:val="0"/>
              <w:rPr>
                <w:sz w:val="16"/>
              </w:rPr>
            </w:pPr>
          </w:p>
        </w:tc>
      </w:tr>
      <w:tr w:rsidR="00A32226" w:rsidRPr="00A1115A" w:rsidTr="00A32226">
        <w:trPr>
          <w:jc w:val="center"/>
        </w:trPr>
        <w:tc>
          <w:tcPr>
            <w:tcW w:w="660" w:type="dxa"/>
            <w:tcBorders>
              <w:top w:val="single" w:sz="4" w:space="0" w:color="auto"/>
              <w:bottom w:val="nil"/>
            </w:tcBorders>
            <w:shd w:val="clear" w:color="auto" w:fill="auto"/>
            <w:tcMar>
              <w:left w:w="28" w:type="dxa"/>
              <w:right w:w="28" w:type="dxa"/>
            </w:tcMar>
            <w:vAlign w:val="center"/>
          </w:tcPr>
          <w:p w:rsidR="00A32226" w:rsidRPr="00A32226" w:rsidRDefault="00A32226" w:rsidP="00A32226">
            <w:pPr>
              <w:pStyle w:val="TAC"/>
              <w:keepNext w:val="0"/>
              <w:rPr>
                <w:rFonts w:eastAsia="Yu Mincho"/>
                <w:sz w:val="16"/>
              </w:rPr>
            </w:pPr>
            <w:r>
              <w:rPr>
                <w:rFonts w:eastAsia="Yu Mincho"/>
                <w:sz w:val="16"/>
              </w:rPr>
              <w:t>n47</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r w:rsidRPr="00A32226">
              <w:rPr>
                <w:rFonts w:eastAsia="Yu Mincho"/>
                <w:sz w:val="16"/>
              </w:rPr>
              <w:t>15</w:t>
            </w:r>
          </w:p>
        </w:tc>
        <w:tc>
          <w:tcPr>
            <w:tcW w:w="589" w:type="dxa"/>
            <w:tcMar>
              <w:left w:w="28" w:type="dxa"/>
              <w:right w:w="28" w:type="dxa"/>
            </w:tcMar>
          </w:tcPr>
          <w:p w:rsidR="00A32226" w:rsidRPr="00A32226" w:rsidRDefault="00A32226" w:rsidP="00A32226">
            <w:pPr>
              <w:pStyle w:val="TAC"/>
              <w:keepNext w:val="0"/>
              <w:rPr>
                <w:rFonts w:eastAsia="Yu Mincho"/>
                <w:sz w:val="16"/>
              </w:rPr>
            </w:pPr>
          </w:p>
        </w:tc>
        <w:tc>
          <w:tcPr>
            <w:tcW w:w="655"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43" w:type="dxa"/>
            <w:tcMar>
              <w:left w:w="28" w:type="dxa"/>
              <w:right w:w="28" w:type="dxa"/>
            </w:tcMar>
            <w:vAlign w:val="center"/>
          </w:tcPr>
          <w:p w:rsidR="00A32226" w:rsidRPr="00A32226" w:rsidRDefault="00A32226" w:rsidP="00A32226">
            <w:pPr>
              <w:pStyle w:val="TAC"/>
              <w:keepNext w:val="0"/>
              <w:rPr>
                <w:rFonts w:eastAsia="Yu Mincho" w:cs="Arial"/>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643"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752"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r>
      <w:tr w:rsidR="00A32226" w:rsidRPr="00A1115A" w:rsidTr="00826D7A">
        <w:trPr>
          <w:jc w:val="center"/>
        </w:trPr>
        <w:tc>
          <w:tcPr>
            <w:tcW w:w="660" w:type="dxa"/>
            <w:tcBorders>
              <w:top w:val="nil"/>
              <w:bottom w:val="nil"/>
            </w:tcBorders>
            <w:shd w:val="clear" w:color="auto" w:fill="auto"/>
            <w:tcMar>
              <w:left w:w="28" w:type="dxa"/>
              <w:right w:w="28" w:type="dxa"/>
            </w:tcMar>
            <w:vAlign w:val="center"/>
          </w:tcPr>
          <w:p w:rsidR="00A32226" w:rsidRPr="00A32226" w:rsidRDefault="00A32226" w:rsidP="00A32226">
            <w:pPr>
              <w:pStyle w:val="TAC"/>
              <w:keepNext w:val="0"/>
              <w:rPr>
                <w:rFonts w:eastAsia="Yu Mincho"/>
                <w:sz w:val="16"/>
              </w:rPr>
            </w:pP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r w:rsidRPr="00A32226">
              <w:rPr>
                <w:rFonts w:eastAsia="Yu Mincho"/>
                <w:sz w:val="16"/>
              </w:rPr>
              <w:t>30</w:t>
            </w:r>
          </w:p>
        </w:tc>
        <w:tc>
          <w:tcPr>
            <w:tcW w:w="589" w:type="dxa"/>
            <w:tcMar>
              <w:left w:w="28" w:type="dxa"/>
              <w:right w:w="28" w:type="dxa"/>
            </w:tcMar>
          </w:tcPr>
          <w:p w:rsidR="00A32226" w:rsidRPr="00A32226" w:rsidRDefault="00A32226" w:rsidP="00A32226">
            <w:pPr>
              <w:pStyle w:val="TAC"/>
              <w:keepNext w:val="0"/>
              <w:rPr>
                <w:rFonts w:eastAsia="Yu Mincho"/>
                <w:sz w:val="16"/>
              </w:rPr>
            </w:pPr>
          </w:p>
        </w:tc>
        <w:tc>
          <w:tcPr>
            <w:tcW w:w="655"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43" w:type="dxa"/>
            <w:tcMar>
              <w:left w:w="28" w:type="dxa"/>
              <w:right w:w="28" w:type="dxa"/>
            </w:tcMar>
            <w:vAlign w:val="center"/>
          </w:tcPr>
          <w:p w:rsidR="00A32226" w:rsidRPr="00A32226" w:rsidRDefault="00A32226" w:rsidP="00A32226">
            <w:pPr>
              <w:pStyle w:val="TAC"/>
              <w:keepNext w:val="0"/>
              <w:rPr>
                <w:rFonts w:eastAsia="Yu Mincho" w:cs="Arial"/>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643"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c>
          <w:tcPr>
            <w:tcW w:w="752" w:type="dxa"/>
            <w:tcMar>
              <w:left w:w="28" w:type="dxa"/>
              <w:right w:w="28" w:type="dxa"/>
            </w:tcMar>
          </w:tcPr>
          <w:p w:rsidR="00A32226" w:rsidRPr="00A32226" w:rsidRDefault="00A32226" w:rsidP="00A32226">
            <w:pPr>
              <w:pStyle w:val="TAC"/>
              <w:keepNext w:val="0"/>
              <w:rPr>
                <w:sz w:val="16"/>
              </w:rPr>
            </w:pPr>
          </w:p>
        </w:tc>
        <w:tc>
          <w:tcPr>
            <w:tcW w:w="643" w:type="dxa"/>
            <w:tcMar>
              <w:left w:w="28" w:type="dxa"/>
              <w:right w:w="28" w:type="dxa"/>
            </w:tcMar>
            <w:vAlign w:val="center"/>
          </w:tcPr>
          <w:p w:rsidR="00A32226" w:rsidRPr="00A32226" w:rsidRDefault="00A32226" w:rsidP="00A32226">
            <w:pPr>
              <w:pStyle w:val="TAC"/>
              <w:keepNext w:val="0"/>
              <w:rPr>
                <w:sz w:val="16"/>
              </w:rPr>
            </w:pPr>
          </w:p>
        </w:tc>
      </w:tr>
      <w:tr w:rsidR="00A32226" w:rsidRPr="00A1115A" w:rsidTr="00A32226">
        <w:trPr>
          <w:jc w:val="center"/>
        </w:trPr>
        <w:tc>
          <w:tcPr>
            <w:tcW w:w="660" w:type="dxa"/>
            <w:tcBorders>
              <w:top w:val="nil"/>
              <w:bottom w:val="single" w:sz="4" w:space="0" w:color="auto"/>
            </w:tcBorders>
            <w:shd w:val="clear" w:color="auto" w:fill="auto"/>
            <w:tcMar>
              <w:left w:w="28" w:type="dxa"/>
              <w:right w:w="28" w:type="dxa"/>
            </w:tcMar>
            <w:vAlign w:val="center"/>
          </w:tcPr>
          <w:p w:rsidR="00A32226" w:rsidRPr="00A32226" w:rsidRDefault="00A32226" w:rsidP="00A32226">
            <w:pPr>
              <w:pStyle w:val="TAC"/>
              <w:keepNext w:val="0"/>
              <w:rPr>
                <w:rFonts w:eastAsia="Yu Mincho"/>
                <w:sz w:val="16"/>
              </w:rPr>
            </w:pPr>
          </w:p>
        </w:tc>
        <w:tc>
          <w:tcPr>
            <w:tcW w:w="582" w:type="dxa"/>
            <w:tcBorders>
              <w:bottom w:val="single" w:sz="4" w:space="0" w:color="auto"/>
            </w:tcBorders>
            <w:tcMar>
              <w:left w:w="28" w:type="dxa"/>
              <w:right w:w="28" w:type="dxa"/>
            </w:tcMar>
            <w:vAlign w:val="center"/>
          </w:tcPr>
          <w:p w:rsidR="00A32226" w:rsidRPr="00A32226" w:rsidRDefault="00A32226" w:rsidP="00A32226">
            <w:pPr>
              <w:pStyle w:val="TAC"/>
              <w:keepNext w:val="0"/>
              <w:rPr>
                <w:rFonts w:eastAsia="Yu Mincho"/>
                <w:sz w:val="16"/>
              </w:rPr>
            </w:pPr>
            <w:r w:rsidRPr="00A32226">
              <w:rPr>
                <w:rFonts w:eastAsia="Yu Mincho"/>
                <w:sz w:val="16"/>
              </w:rPr>
              <w:t>60</w:t>
            </w:r>
          </w:p>
        </w:tc>
        <w:tc>
          <w:tcPr>
            <w:tcW w:w="589" w:type="dxa"/>
            <w:tcBorders>
              <w:bottom w:val="single" w:sz="4" w:space="0" w:color="auto"/>
            </w:tcBorders>
            <w:tcMar>
              <w:left w:w="28" w:type="dxa"/>
              <w:right w:w="28" w:type="dxa"/>
            </w:tcMar>
          </w:tcPr>
          <w:p w:rsidR="00A32226" w:rsidRPr="00A32226" w:rsidRDefault="00A32226" w:rsidP="00A32226">
            <w:pPr>
              <w:pStyle w:val="TAC"/>
              <w:keepNext w:val="0"/>
              <w:rPr>
                <w:rFonts w:eastAsia="Yu Mincho"/>
                <w:sz w:val="16"/>
              </w:rPr>
            </w:pPr>
          </w:p>
        </w:tc>
        <w:tc>
          <w:tcPr>
            <w:tcW w:w="655" w:type="dxa"/>
            <w:tcBorders>
              <w:bottom w:val="single" w:sz="4" w:space="0" w:color="auto"/>
            </w:tcBorders>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2" w:type="dxa"/>
            <w:tcBorders>
              <w:bottom w:val="single" w:sz="4" w:space="0" w:color="auto"/>
            </w:tcBorders>
            <w:tcMar>
              <w:left w:w="28" w:type="dxa"/>
              <w:right w:w="28" w:type="dxa"/>
            </w:tcMar>
            <w:vAlign w:val="center"/>
          </w:tcPr>
          <w:p w:rsidR="00A32226" w:rsidRPr="00A32226" w:rsidRDefault="00A32226" w:rsidP="00A32226">
            <w:pPr>
              <w:pStyle w:val="TAC"/>
              <w:keepNext w:val="0"/>
              <w:rPr>
                <w:rFonts w:eastAsia="Yu Mincho"/>
                <w:sz w:val="16"/>
              </w:rPr>
            </w:pPr>
          </w:p>
        </w:tc>
        <w:tc>
          <w:tcPr>
            <w:tcW w:w="782" w:type="dxa"/>
            <w:tcBorders>
              <w:bottom w:val="single" w:sz="4" w:space="0" w:color="auto"/>
            </w:tcBorders>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589" w:type="dxa"/>
            <w:tcBorders>
              <w:bottom w:val="single" w:sz="4" w:space="0" w:color="auto"/>
            </w:tcBorders>
            <w:tcMar>
              <w:left w:w="28" w:type="dxa"/>
              <w:right w:w="28" w:type="dxa"/>
            </w:tcMar>
            <w:vAlign w:val="center"/>
          </w:tcPr>
          <w:p w:rsidR="00A32226" w:rsidRPr="00A32226" w:rsidRDefault="00A32226" w:rsidP="00A32226">
            <w:pPr>
              <w:pStyle w:val="TAC"/>
              <w:keepNext w:val="0"/>
              <w:rPr>
                <w:rFonts w:eastAsia="Yu Mincho"/>
                <w:sz w:val="16"/>
              </w:rPr>
            </w:pPr>
          </w:p>
        </w:tc>
        <w:tc>
          <w:tcPr>
            <w:tcW w:w="589" w:type="dxa"/>
            <w:tcBorders>
              <w:bottom w:val="single" w:sz="4" w:space="0" w:color="auto"/>
            </w:tcBorders>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36" w:type="dxa"/>
            <w:tcBorders>
              <w:bottom w:val="single" w:sz="4" w:space="0" w:color="auto"/>
            </w:tcBorders>
            <w:tcMar>
              <w:left w:w="28" w:type="dxa"/>
              <w:right w:w="28" w:type="dxa"/>
            </w:tcMar>
          </w:tcPr>
          <w:p w:rsidR="00A32226" w:rsidRPr="00A32226" w:rsidRDefault="00A32226" w:rsidP="00A32226">
            <w:pPr>
              <w:pStyle w:val="TAC"/>
              <w:keepNext w:val="0"/>
              <w:rPr>
                <w:rFonts w:eastAsia="Yu Mincho"/>
                <w:sz w:val="16"/>
              </w:rPr>
            </w:pPr>
            <w:r w:rsidRPr="00A32226">
              <w:rPr>
                <w:rFonts w:eastAsia="Yu Mincho"/>
                <w:sz w:val="16"/>
              </w:rPr>
              <w:t>Yes</w:t>
            </w:r>
            <w:r w:rsidRPr="00A32226">
              <w:rPr>
                <w:rFonts w:eastAsia="Yu Mincho"/>
                <w:sz w:val="16"/>
                <w:vertAlign w:val="superscript"/>
              </w:rPr>
              <w:t>10</w:t>
            </w:r>
          </w:p>
        </w:tc>
        <w:tc>
          <w:tcPr>
            <w:tcW w:w="643" w:type="dxa"/>
            <w:tcBorders>
              <w:bottom w:val="single" w:sz="4" w:space="0" w:color="auto"/>
            </w:tcBorders>
            <w:tcMar>
              <w:left w:w="28" w:type="dxa"/>
              <w:right w:w="28" w:type="dxa"/>
            </w:tcMar>
            <w:vAlign w:val="center"/>
          </w:tcPr>
          <w:p w:rsidR="00A32226" w:rsidRPr="00A32226" w:rsidRDefault="00A32226" w:rsidP="00A32226">
            <w:pPr>
              <w:pStyle w:val="TAC"/>
              <w:keepNext w:val="0"/>
              <w:rPr>
                <w:rFonts w:eastAsia="Yu Mincho" w:cs="Arial"/>
                <w:sz w:val="16"/>
              </w:rPr>
            </w:pPr>
          </w:p>
        </w:tc>
        <w:tc>
          <w:tcPr>
            <w:tcW w:w="643" w:type="dxa"/>
            <w:tcBorders>
              <w:bottom w:val="single" w:sz="4" w:space="0" w:color="auto"/>
            </w:tcBorders>
            <w:tcMar>
              <w:left w:w="28" w:type="dxa"/>
              <w:right w:w="28" w:type="dxa"/>
            </w:tcMar>
            <w:vAlign w:val="center"/>
          </w:tcPr>
          <w:p w:rsidR="00A32226" w:rsidRPr="00A32226" w:rsidRDefault="00A32226" w:rsidP="00A32226">
            <w:pPr>
              <w:pStyle w:val="TAC"/>
              <w:keepNext w:val="0"/>
              <w:rPr>
                <w:sz w:val="16"/>
              </w:rPr>
            </w:pPr>
          </w:p>
        </w:tc>
        <w:tc>
          <w:tcPr>
            <w:tcW w:w="643" w:type="dxa"/>
            <w:tcBorders>
              <w:bottom w:val="single" w:sz="4" w:space="0" w:color="auto"/>
            </w:tcBorders>
            <w:tcMar>
              <w:left w:w="28" w:type="dxa"/>
              <w:right w:w="28" w:type="dxa"/>
            </w:tcMar>
          </w:tcPr>
          <w:p w:rsidR="00A32226" w:rsidRPr="00A32226" w:rsidRDefault="00A32226" w:rsidP="00A32226">
            <w:pPr>
              <w:pStyle w:val="TAC"/>
              <w:keepNext w:val="0"/>
              <w:rPr>
                <w:sz w:val="16"/>
              </w:rPr>
            </w:pPr>
          </w:p>
        </w:tc>
        <w:tc>
          <w:tcPr>
            <w:tcW w:w="643" w:type="dxa"/>
            <w:tcBorders>
              <w:bottom w:val="single" w:sz="4" w:space="0" w:color="auto"/>
            </w:tcBorders>
            <w:tcMar>
              <w:left w:w="28" w:type="dxa"/>
              <w:right w:w="28" w:type="dxa"/>
            </w:tcMar>
            <w:vAlign w:val="center"/>
          </w:tcPr>
          <w:p w:rsidR="00A32226" w:rsidRPr="00A32226" w:rsidRDefault="00A32226" w:rsidP="00A32226">
            <w:pPr>
              <w:pStyle w:val="TAC"/>
              <w:keepNext w:val="0"/>
              <w:rPr>
                <w:sz w:val="16"/>
              </w:rPr>
            </w:pPr>
          </w:p>
        </w:tc>
        <w:tc>
          <w:tcPr>
            <w:tcW w:w="752" w:type="dxa"/>
            <w:tcBorders>
              <w:bottom w:val="single" w:sz="4" w:space="0" w:color="auto"/>
            </w:tcBorders>
            <w:tcMar>
              <w:left w:w="28" w:type="dxa"/>
              <w:right w:w="28" w:type="dxa"/>
            </w:tcMar>
          </w:tcPr>
          <w:p w:rsidR="00A32226" w:rsidRPr="00A32226" w:rsidRDefault="00A32226" w:rsidP="00A32226">
            <w:pPr>
              <w:pStyle w:val="TAC"/>
              <w:keepNext w:val="0"/>
              <w:rPr>
                <w:sz w:val="16"/>
              </w:rPr>
            </w:pPr>
          </w:p>
        </w:tc>
        <w:tc>
          <w:tcPr>
            <w:tcW w:w="643" w:type="dxa"/>
            <w:tcBorders>
              <w:bottom w:val="single" w:sz="4" w:space="0" w:color="auto"/>
            </w:tcBorders>
            <w:tcMar>
              <w:left w:w="28" w:type="dxa"/>
              <w:right w:w="28" w:type="dxa"/>
            </w:tcMar>
            <w:vAlign w:val="center"/>
          </w:tcPr>
          <w:p w:rsidR="00A32226" w:rsidRPr="00A32226" w:rsidRDefault="00A32226" w:rsidP="00A32226">
            <w:pPr>
              <w:pStyle w:val="TAC"/>
              <w:keepNext w:val="0"/>
              <w:rPr>
                <w:sz w:val="16"/>
              </w:rPr>
            </w:pPr>
          </w:p>
        </w:tc>
      </w:tr>
      <w:tr w:rsidR="00A32226" w:rsidRPr="00A1115A" w:rsidTr="00A32226">
        <w:trPr>
          <w:jc w:val="center"/>
        </w:trPr>
        <w:tc>
          <w:tcPr>
            <w:tcW w:w="9631" w:type="dxa"/>
            <w:gridSpan w:val="15"/>
            <w:tcBorders>
              <w:top w:val="single" w:sz="4" w:space="0" w:color="auto"/>
              <w:bottom w:val="single" w:sz="4" w:space="0" w:color="auto"/>
            </w:tcBorders>
            <w:shd w:val="clear" w:color="auto" w:fill="auto"/>
            <w:tcMar>
              <w:left w:w="28" w:type="dxa"/>
              <w:right w:w="28" w:type="dxa"/>
            </w:tcMar>
            <w:vAlign w:val="center"/>
          </w:tcPr>
          <w:p w:rsidR="00A32226" w:rsidRPr="00A32226" w:rsidRDefault="00A32226" w:rsidP="00A32226">
            <w:pPr>
              <w:pStyle w:val="TAC"/>
              <w:keepNext w:val="0"/>
              <w:jc w:val="left"/>
              <w:rPr>
                <w:sz w:val="16"/>
              </w:rPr>
            </w:pPr>
            <w:r w:rsidRPr="00A32226">
              <w:rPr>
                <w:rFonts w:eastAsia="Yu Mincho"/>
                <w:sz w:val="16"/>
              </w:rPr>
              <w:t>NOTE 10:</w:t>
            </w:r>
            <w:r w:rsidRPr="00A32226">
              <w:rPr>
                <w:rFonts w:eastAsia="Yu Mincho"/>
                <w:sz w:val="16"/>
              </w:rPr>
              <w:tab/>
              <w:t xml:space="preserve">These UE channel bandwidths are applicable to </w:t>
            </w:r>
            <w:proofErr w:type="spellStart"/>
            <w:r w:rsidRPr="00A32226">
              <w:rPr>
                <w:rFonts w:eastAsia="Yu Mincho"/>
                <w:sz w:val="16"/>
              </w:rPr>
              <w:t>sidelink</w:t>
            </w:r>
            <w:proofErr w:type="spellEnd"/>
            <w:r w:rsidRPr="00A32226">
              <w:rPr>
                <w:rFonts w:eastAsia="Yu Mincho"/>
                <w:sz w:val="16"/>
              </w:rPr>
              <w:t xml:space="preserve"> operation.</w:t>
            </w:r>
          </w:p>
        </w:tc>
      </w:tr>
    </w:tbl>
    <w:p w:rsidR="00A32226" w:rsidRDefault="00A32226" w:rsidP="005369EE">
      <w:pPr>
        <w:rPr>
          <w:lang w:val="en-US" w:eastAsia="en-US"/>
        </w:rPr>
      </w:pPr>
    </w:p>
    <w:p w:rsidR="0096717D" w:rsidRDefault="0096717D" w:rsidP="005369EE">
      <w:pPr>
        <w:rPr>
          <w:lang w:val="en-US" w:eastAsia="en-US"/>
        </w:rPr>
      </w:pPr>
      <w:r>
        <w:rPr>
          <w:lang w:val="en-US" w:eastAsia="en-US"/>
        </w:rPr>
        <w:t xml:space="preserve">During the study in Rel-16, we have the following agreement on CBW for licensed band, i.e. </w:t>
      </w:r>
    </w:p>
    <w:p w:rsidR="00044D87" w:rsidRPr="00044D87" w:rsidRDefault="00044D87" w:rsidP="005369EE">
      <w:pPr>
        <w:rPr>
          <w:i/>
          <w:lang w:val="en-US" w:eastAsia="en-US"/>
        </w:rPr>
      </w:pPr>
      <w:r w:rsidRPr="00044D87">
        <w:rPr>
          <w:rFonts w:eastAsia="Malgun Gothic"/>
          <w:i/>
        </w:rPr>
        <w:t>Channel bandwidths defined for NR V2X licensed band should be a subset of UE channel bandwidths for the same licensed band in NR for Rel-16.</w:t>
      </w:r>
    </w:p>
    <w:p w:rsidR="00A32226" w:rsidRDefault="0096717D" w:rsidP="005369EE">
      <w:pPr>
        <w:rPr>
          <w:lang w:val="en-US" w:eastAsia="en-US"/>
        </w:rPr>
      </w:pPr>
      <w:r>
        <w:rPr>
          <w:lang w:val="en-US" w:eastAsia="en-US"/>
        </w:rPr>
        <w:t xml:space="preserve">But it is noted that the NR V2X licensed band can support both SL and </w:t>
      </w:r>
      <w:proofErr w:type="spellStart"/>
      <w:r>
        <w:rPr>
          <w:lang w:val="en-US" w:eastAsia="en-US"/>
        </w:rPr>
        <w:t>Uu</w:t>
      </w:r>
      <w:proofErr w:type="spellEnd"/>
      <w:r>
        <w:rPr>
          <w:lang w:val="en-US" w:eastAsia="en-US"/>
        </w:rPr>
        <w:t xml:space="preserve"> services. In the work plan, n79 as a TDD NR band is also considered to support NR V2X. However, it is noted that the maximum channel BW for n79 is 100MHz. To better understand the above agreement, we think the CBW for NR V2X </w:t>
      </w:r>
      <w:proofErr w:type="spellStart"/>
      <w:r>
        <w:rPr>
          <w:lang w:val="en-US" w:eastAsia="en-US"/>
        </w:rPr>
        <w:t>Uu</w:t>
      </w:r>
      <w:proofErr w:type="spellEnd"/>
      <w:r>
        <w:rPr>
          <w:lang w:val="en-US" w:eastAsia="en-US"/>
        </w:rPr>
        <w:t xml:space="preserve"> and SL should be distinguished. </w:t>
      </w:r>
    </w:p>
    <w:p w:rsidR="0096717D" w:rsidRDefault="002526BC" w:rsidP="005369EE">
      <w:pPr>
        <w:rPr>
          <w:lang w:eastAsia="en-US"/>
        </w:rPr>
      </w:pPr>
      <w:r w:rsidRPr="002526BC">
        <w:rPr>
          <w:lang w:eastAsia="en-US"/>
        </w:rPr>
        <w:t>NR Band n47 has 70 MHz bandwidth</w:t>
      </w:r>
      <w:r>
        <w:rPr>
          <w:lang w:eastAsia="en-US"/>
        </w:rPr>
        <w:t xml:space="preserve">, only max 20MHz CBW is considered for the ITS band. For NR, in order to fulfil the NR-V capacity requirement based on input from 5GAA, the max CBW is extended to 40MHz. In our understanding, 40MHz CBW can already meet the demand of NR SL service. </w:t>
      </w:r>
    </w:p>
    <w:p w:rsidR="00AC48C6" w:rsidRPr="00AC48C6" w:rsidRDefault="00AC48C6" w:rsidP="005369EE">
      <w:pPr>
        <w:rPr>
          <w:b/>
          <w:i/>
          <w:lang w:eastAsia="en-US"/>
        </w:rPr>
      </w:pPr>
      <w:r w:rsidRPr="00AC48C6">
        <w:rPr>
          <w:b/>
          <w:i/>
          <w:lang w:eastAsia="en-US"/>
        </w:rPr>
        <w:t>Observation: Max 40MHz CBW for NR licensed band can meet the capacity requirement for NR SL service.</w:t>
      </w:r>
    </w:p>
    <w:p w:rsidR="00AC48C6" w:rsidRDefault="00AC48C6" w:rsidP="00AC48C6">
      <w:pPr>
        <w:ind w:left="284" w:hanging="284"/>
        <w:rPr>
          <w:lang w:val="en-US" w:eastAsia="en-US"/>
        </w:rPr>
      </w:pPr>
      <w:r>
        <w:rPr>
          <w:lang w:val="en-US" w:eastAsia="en-US"/>
        </w:rPr>
        <w:t xml:space="preserve">For NR V2X </w:t>
      </w:r>
      <w:proofErr w:type="spellStart"/>
      <w:r>
        <w:rPr>
          <w:lang w:val="en-US" w:eastAsia="en-US"/>
        </w:rPr>
        <w:t>Uu</w:t>
      </w:r>
      <w:proofErr w:type="spellEnd"/>
      <w:r>
        <w:rPr>
          <w:lang w:val="en-US" w:eastAsia="en-US"/>
        </w:rPr>
        <w:t xml:space="preserve"> service, it can still follow the existing CBW in the specification. Certainly, for the </w:t>
      </w:r>
      <w:proofErr w:type="spellStart"/>
      <w:r>
        <w:rPr>
          <w:lang w:val="en-US" w:eastAsia="en-US"/>
        </w:rPr>
        <w:t>Uu</w:t>
      </w:r>
      <w:proofErr w:type="spellEnd"/>
      <w:r>
        <w:rPr>
          <w:lang w:val="en-US" w:eastAsia="en-US"/>
        </w:rPr>
        <w:t xml:space="preserve"> and SL sharing scenario, the max CBW for </w:t>
      </w:r>
      <w:proofErr w:type="spellStart"/>
      <w:r>
        <w:rPr>
          <w:lang w:val="en-US" w:eastAsia="en-US"/>
        </w:rPr>
        <w:t>Uu</w:t>
      </w:r>
      <w:proofErr w:type="spellEnd"/>
      <w:r>
        <w:rPr>
          <w:lang w:val="en-US" w:eastAsia="en-US"/>
        </w:rPr>
        <w:t xml:space="preserve"> service would be less than that defined in the spec.</w:t>
      </w:r>
    </w:p>
    <w:p w:rsidR="00AC48C6" w:rsidRDefault="00AC48C6" w:rsidP="00AC48C6">
      <w:pPr>
        <w:ind w:left="284" w:hanging="284"/>
        <w:rPr>
          <w:lang w:val="en-US" w:eastAsia="en-US"/>
        </w:rPr>
      </w:pPr>
      <w:r>
        <w:rPr>
          <w:b/>
          <w:i/>
          <w:lang w:eastAsia="en-US"/>
        </w:rPr>
        <w:t>Proposal</w:t>
      </w:r>
      <w:r w:rsidRPr="00AC48C6">
        <w:rPr>
          <w:b/>
          <w:i/>
          <w:lang w:eastAsia="en-US"/>
        </w:rPr>
        <w:t>:</w:t>
      </w:r>
      <w:r>
        <w:rPr>
          <w:b/>
          <w:i/>
          <w:lang w:eastAsia="en-US"/>
        </w:rPr>
        <w:t xml:space="preserve"> It is proposed that the max CBW for SL service for NR V2X in licensed band is limited to 40MHz.</w:t>
      </w:r>
    </w:p>
    <w:p w:rsidR="00A33E8E" w:rsidRDefault="00A33E8E" w:rsidP="00A33E8E">
      <w:pPr>
        <w:pStyle w:val="Heading1"/>
        <w:spacing w:after="240"/>
        <w:rPr>
          <w:rFonts w:eastAsia="宋体"/>
          <w:lang w:eastAsia="zh-CN"/>
        </w:rPr>
      </w:pPr>
      <w:r>
        <w:rPr>
          <w:rFonts w:eastAsia="宋体" w:hint="eastAsia"/>
          <w:lang w:eastAsia="zh-CN"/>
        </w:rPr>
        <w:t>Conclusion</w:t>
      </w:r>
    </w:p>
    <w:p w:rsidR="006A2342" w:rsidRDefault="005369EE" w:rsidP="006A2342">
      <w:r>
        <w:t xml:space="preserve">This contribution provides </w:t>
      </w:r>
      <w:r w:rsidR="006A2342">
        <w:t xml:space="preserve">consideration on the CBW for SL service for NR V2X in licensed band. Based on the previous agreement in RAN4 and capacity request from 5GAA, we have the following observation and proposal. </w:t>
      </w:r>
    </w:p>
    <w:p w:rsidR="00AC48C6" w:rsidRDefault="00AC48C6" w:rsidP="006A2342">
      <w:pPr>
        <w:rPr>
          <w:b/>
          <w:i/>
          <w:lang w:eastAsia="en-US"/>
        </w:rPr>
      </w:pPr>
      <w:r w:rsidRPr="00AC48C6">
        <w:rPr>
          <w:b/>
          <w:i/>
          <w:lang w:eastAsia="en-US"/>
        </w:rPr>
        <w:lastRenderedPageBreak/>
        <w:t>Observation: Max 40MHz CBW for NR licensed band can meet the capacity requirement for NR SL service.</w:t>
      </w:r>
    </w:p>
    <w:p w:rsidR="00AC48C6" w:rsidRDefault="00AC48C6" w:rsidP="00AC48C6">
      <w:pPr>
        <w:ind w:left="284" w:hanging="284"/>
        <w:rPr>
          <w:lang w:val="en-US" w:eastAsia="en-US"/>
        </w:rPr>
      </w:pPr>
      <w:r>
        <w:rPr>
          <w:b/>
          <w:i/>
          <w:lang w:eastAsia="en-US"/>
        </w:rPr>
        <w:t>Proposal</w:t>
      </w:r>
      <w:r w:rsidRPr="00AC48C6">
        <w:rPr>
          <w:b/>
          <w:i/>
          <w:lang w:eastAsia="en-US"/>
        </w:rPr>
        <w:t>:</w:t>
      </w:r>
      <w:r>
        <w:rPr>
          <w:b/>
          <w:i/>
          <w:lang w:eastAsia="en-US"/>
        </w:rPr>
        <w:t xml:space="preserve"> It is proposed that the max CBW for SL service for NR V2X in licensed band is limited to 40MHz.</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70479C" w:rsidRPr="0070479C">
        <w:t>R4-2016924</w:t>
      </w:r>
      <w:r w:rsidR="005369EE">
        <w:t>,</w:t>
      </w:r>
      <w:r w:rsidR="005369EE" w:rsidRPr="005369EE">
        <w:t xml:space="preserve"> </w:t>
      </w:r>
      <w:r w:rsidR="0070479C" w:rsidRPr="0070479C">
        <w:t xml:space="preserve">Work plan for NR </w:t>
      </w:r>
      <w:proofErr w:type="spellStart"/>
      <w:r w:rsidR="0070479C" w:rsidRPr="0070479C">
        <w:t>sidelink</w:t>
      </w:r>
      <w:proofErr w:type="spellEnd"/>
      <w:r w:rsidR="0070479C" w:rsidRPr="0070479C">
        <w:t xml:space="preserve"> enhancement in Rel-17</w:t>
      </w:r>
      <w:r w:rsidR="0070479C">
        <w:t xml:space="preserve">, </w:t>
      </w:r>
      <w:r w:rsidR="0070479C" w:rsidRPr="0070479C">
        <w:t>LG Electronics</w:t>
      </w:r>
    </w:p>
    <w:p w:rsidR="00842A24" w:rsidRDefault="00842A24" w:rsidP="00F71A33"/>
    <w:sectPr w:rsidR="00842A2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533" w:rsidRDefault="00283533" w:rsidP="0052762B">
      <w:r>
        <w:separator/>
      </w:r>
    </w:p>
  </w:endnote>
  <w:endnote w:type="continuationSeparator" w:id="0">
    <w:p w:rsidR="00283533" w:rsidRDefault="0028353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533" w:rsidRDefault="00283533" w:rsidP="0052762B">
      <w:r>
        <w:separator/>
      </w:r>
    </w:p>
  </w:footnote>
  <w:footnote w:type="continuationSeparator" w:id="0">
    <w:p w:rsidR="00283533" w:rsidRDefault="0028353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4D87"/>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38A"/>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6BC"/>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533"/>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6A1"/>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10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C9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342"/>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79C"/>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A24"/>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378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17D"/>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18D"/>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26"/>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8C6"/>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D19"/>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6883D-79E3-46A4-8435-DB845449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2021-03-30T10:16:00Z</dcterms:created>
  <dcterms:modified xsi:type="dcterms:W3CDTF">2021-04-02T20:46:00Z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(3)hjGOFl+tT0lwocjoduYNWO75xWTpXOcY2xHlroijyPCSRttjrl6r1AEWFkDDfYHBMn3SX/Pp
cFh7CQwOyelad3Tnyr31ZDvu5TVYUduwoAPDaWiJMvrVruW+vjqyOJwHhl0gpW6Bq3sF3Oj3
0PQ7C7ElkAV6Y7LouGUz/9GZESNKlzstSiI9Y6Nloiy3c7H3MmL1dNcvYsFVllTHGD60i+m/
Um4vxM/i8uCuQ4TnnS</vt:lpwstr>
  </property>
  <property fmtid="{D5CDD505-2E9C-101B-9397-08002B2CF9AE}" pid="15" name="_2015_ms_pID_725343_00">
    <vt:lpwstr>_2015_ms_pID_725343</vt:lpwstr>
  </property>
  <property fmtid="{D5CDD505-2E9C-101B-9397-08002B2CF9AE}" pid="16" name="_2015_ms_pID_7253431">
    <vt:lpwstr>fLGlljxGwg5YNYB5uv0Xp0yx6gpEnqw70E1HdJH/tvsUjeUo/JOAQ9
g0sW9ExfGiavZNFg9Bpjwb1a3ieArIqa4leLUIlqyLSnj3ytOc8o1hQpdy1YyHKqLO7PlGuu
AY7TZ4l8jpywW1ZvvoXgAouaAT847b1641GxEtXthk4d0mqD2BEKmg7pYLcMVfL3swdvPFwL
LbBeFDllCmwYeV9fTX/ZE0/AR/OXwnkBK4K6</vt:lpwstr>
  </property>
  <property fmtid="{D5CDD505-2E9C-101B-9397-08002B2CF9AE}" pid="17" name="_2015_ms_pID_7253431_00">
    <vt:lpwstr>_2015_ms_pID_7253431</vt:lpwstr>
  </property>
  <property fmtid="{D5CDD505-2E9C-101B-9397-08002B2CF9AE}" pid="18" name="_2015_ms_pID_7253432">
    <vt:lpwstr>DgUiWI9nYfA5xC99dLnFEhc=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